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A28" w:rsidRPr="00625A7F" w:rsidRDefault="00404A28" w:rsidP="00404A28">
      <w:pPr>
        <w:rPr>
          <w:b/>
          <w:sz w:val="28"/>
          <w:szCs w:val="28"/>
          <w:u w:val="single"/>
        </w:rPr>
      </w:pPr>
      <w:r w:rsidRPr="00625A7F">
        <w:rPr>
          <w:b/>
          <w:sz w:val="28"/>
          <w:szCs w:val="28"/>
          <w:u w:val="single"/>
        </w:rPr>
        <w:t xml:space="preserve">How to Use </w:t>
      </w:r>
      <w:r w:rsidR="007807B3">
        <w:rPr>
          <w:b/>
          <w:sz w:val="28"/>
          <w:szCs w:val="28"/>
          <w:u w:val="single"/>
        </w:rPr>
        <w:t xml:space="preserve">County </w:t>
      </w:r>
      <w:r w:rsidR="0012374D" w:rsidRPr="0065523E">
        <w:rPr>
          <w:b/>
          <w:sz w:val="28"/>
          <w:szCs w:val="28"/>
          <w:u w:val="single"/>
        </w:rPr>
        <w:t>Funding</w:t>
      </w:r>
      <w:r w:rsidR="0012374D">
        <w:rPr>
          <w:b/>
          <w:sz w:val="28"/>
          <w:szCs w:val="28"/>
          <w:u w:val="single"/>
        </w:rPr>
        <w:t xml:space="preserve"> </w:t>
      </w:r>
      <w:r w:rsidRPr="00625A7F">
        <w:rPr>
          <w:b/>
          <w:sz w:val="28"/>
          <w:szCs w:val="28"/>
          <w:u w:val="single"/>
        </w:rPr>
        <w:t>Document</w:t>
      </w:r>
      <w:r w:rsidR="007807B3">
        <w:rPr>
          <w:b/>
          <w:sz w:val="28"/>
          <w:szCs w:val="28"/>
          <w:u w:val="single"/>
        </w:rPr>
        <w:t>s</w:t>
      </w:r>
      <w:r w:rsidR="006D442C">
        <w:rPr>
          <w:b/>
          <w:sz w:val="28"/>
          <w:szCs w:val="28"/>
          <w:u w:val="single"/>
        </w:rPr>
        <w:t xml:space="preserve"> </w:t>
      </w:r>
      <w:bookmarkStart w:id="0" w:name="_GoBack"/>
      <w:bookmarkEnd w:id="0"/>
    </w:p>
    <w:p w:rsidR="00C85189" w:rsidRDefault="00C85189" w:rsidP="00404A28">
      <w:pPr>
        <w:rPr>
          <w:b/>
          <w:sz w:val="28"/>
          <w:szCs w:val="28"/>
        </w:rPr>
      </w:pPr>
    </w:p>
    <w:p w:rsidR="00C85189" w:rsidRDefault="00957AFA" w:rsidP="002162E9">
      <w:r>
        <w:t>Below is an</w:t>
      </w:r>
      <w:r w:rsidR="002162E9">
        <w:t xml:space="preserve"> outline</w:t>
      </w:r>
      <w:r>
        <w:t xml:space="preserve"> of the intended use of the County funding </w:t>
      </w:r>
      <w:r w:rsidR="002162E9">
        <w:t xml:space="preserve">documents </w:t>
      </w:r>
      <w:r>
        <w:t>provided and information regarding</w:t>
      </w:r>
      <w:r w:rsidR="002162E9">
        <w:t xml:space="preserve"> decision points of councils and extension administration.   Review this document in its entirety.  The intent is to assist counties assess</w:t>
      </w:r>
      <w:r>
        <w:t>ing</w:t>
      </w:r>
      <w:r w:rsidR="002162E9">
        <w:t xml:space="preserve"> their</w:t>
      </w:r>
      <w:r w:rsidR="00625A7F">
        <w:t xml:space="preserve"> financial</w:t>
      </w:r>
      <w:r w:rsidR="002162E9">
        <w:t xml:space="preserve"> situation and plan for the future.  This document moves our guidelines into </w:t>
      </w:r>
      <w:r w:rsidR="000B09AC">
        <w:t xml:space="preserve">a progressive work rather than </w:t>
      </w:r>
      <w:r w:rsidR="002162E9">
        <w:t>static fiscal expectation</w:t>
      </w:r>
      <w:r w:rsidR="000B09AC">
        <w:t>s</w:t>
      </w:r>
      <w:r w:rsidR="00625A7F">
        <w:t>.  The funding guidelines and</w:t>
      </w:r>
      <w:r w:rsidR="002162E9">
        <w:t xml:space="preserve"> the </w:t>
      </w:r>
      <w:r w:rsidR="00DF5417">
        <w:t>county extension council assessment tool for viability</w:t>
      </w:r>
      <w:r w:rsidR="002162E9">
        <w:t xml:space="preserve"> provide both numbers and general information for decision making.   </w:t>
      </w:r>
      <w:r w:rsidR="00435DC1">
        <w:t>Use of t</w:t>
      </w:r>
      <w:r w:rsidR="002162E9">
        <w:t xml:space="preserve">he action plan </w:t>
      </w:r>
      <w:r w:rsidR="00435DC1">
        <w:t>template contained in the county extension council assessment tool Excel file</w:t>
      </w:r>
      <w:r w:rsidR="002162E9">
        <w:t xml:space="preserve"> will provide councils with an opportunity to plan and will assist regional directors with pertinent information in cases where lack of adequate funding requires action.</w:t>
      </w:r>
      <w:r w:rsidR="004919C8">
        <w:t xml:space="preserve">  The County Business Plan is a critical part in helping your address local county funding issues.</w:t>
      </w:r>
    </w:p>
    <w:p w:rsidR="00625A7F" w:rsidRDefault="00625A7F" w:rsidP="002162E9"/>
    <w:p w:rsidR="00625A7F" w:rsidRPr="00C85189" w:rsidRDefault="00625A7F" w:rsidP="002162E9"/>
    <w:p w:rsidR="00404A28" w:rsidRPr="00524532" w:rsidRDefault="00F3602D" w:rsidP="00404A28">
      <w:pPr>
        <w:numPr>
          <w:ilvl w:val="0"/>
          <w:numId w:val="9"/>
        </w:numPr>
        <w:rPr>
          <w:b/>
        </w:rPr>
      </w:pPr>
      <w:r>
        <w:rPr>
          <w:b/>
        </w:rPr>
        <w:t>County Extension Council Assessment Tool for Viability</w:t>
      </w:r>
      <w:r w:rsidR="00404A28">
        <w:rPr>
          <w:b/>
        </w:rPr>
        <w:t>: A tool for assessing the local support f</w:t>
      </w:r>
      <w:r w:rsidR="00625A7F">
        <w:rPr>
          <w:b/>
        </w:rPr>
        <w:t>or Extension programs—Appendix A</w:t>
      </w:r>
    </w:p>
    <w:p w:rsidR="00404A28" w:rsidRDefault="00404A28" w:rsidP="00404A28">
      <w:pPr>
        <w:numPr>
          <w:ilvl w:val="1"/>
          <w:numId w:val="9"/>
        </w:numPr>
      </w:pPr>
      <w:r>
        <w:t>This document looks at how counties are doing in terms of programs, support, and funding. The format is tiered—“at risk”, “minimum/safe” and “target/thriving” indicators are used for descriptors for a county to make a self assessment of how well they provide/support extension operations in a particular county.  This document contains no dollar amounts—</w:t>
      </w:r>
      <w:r w:rsidR="00625A7F">
        <w:t>however,</w:t>
      </w:r>
      <w:r>
        <w:t xml:space="preserve"> the “minimum” and “target” indicators can be associated with the funding guidelines—</w:t>
      </w:r>
      <w:r w:rsidR="00625A7F">
        <w:t>as</w:t>
      </w:r>
      <w:r>
        <w:t xml:space="preserve"> the level of service/programming that can be provided for the corresponding budget amount.</w:t>
      </w:r>
    </w:p>
    <w:p w:rsidR="00404A28" w:rsidRDefault="00404A28" w:rsidP="00404A28">
      <w:pPr>
        <w:numPr>
          <w:ilvl w:val="1"/>
          <w:numId w:val="9"/>
        </w:numPr>
      </w:pPr>
      <w:r>
        <w:t xml:space="preserve">Any county that experiences an </w:t>
      </w:r>
      <w:r w:rsidRPr="00136C4D">
        <w:rPr>
          <w:i/>
        </w:rPr>
        <w:t>“at-risk”</w:t>
      </w:r>
      <w:r>
        <w:t xml:space="preserve"> ra</w:t>
      </w:r>
      <w:r w:rsidR="009D65CA">
        <w:t>n</w:t>
      </w:r>
      <w:r>
        <w:t>king in the following criteria would immediately be reviewed and the appropriate decision</w:t>
      </w:r>
      <w:r w:rsidR="009D65CA">
        <w:t>-</w:t>
      </w:r>
      <w:r>
        <w:t>point actions implemented.</w:t>
      </w:r>
    </w:p>
    <w:p w:rsidR="00404A28" w:rsidRPr="009D65CA" w:rsidRDefault="00404A28" w:rsidP="00404A28">
      <w:pPr>
        <w:numPr>
          <w:ilvl w:val="3"/>
          <w:numId w:val="13"/>
        </w:numPr>
        <w:rPr>
          <w:b/>
        </w:rPr>
      </w:pPr>
      <w:r w:rsidRPr="009D65CA">
        <w:rPr>
          <w:b/>
        </w:rPr>
        <w:t>Programs—1. Programming</w:t>
      </w:r>
    </w:p>
    <w:p w:rsidR="00404A28" w:rsidRPr="009D65CA" w:rsidRDefault="00404A28" w:rsidP="00404A28">
      <w:pPr>
        <w:numPr>
          <w:ilvl w:val="3"/>
          <w:numId w:val="13"/>
        </w:numPr>
        <w:rPr>
          <w:b/>
        </w:rPr>
      </w:pPr>
      <w:r w:rsidRPr="009D65CA">
        <w:rPr>
          <w:b/>
        </w:rPr>
        <w:t>Funding—1. Local Funding (source of funds etc.)</w:t>
      </w:r>
    </w:p>
    <w:p w:rsidR="00404A28" w:rsidRPr="009D65CA" w:rsidRDefault="00404A28" w:rsidP="00404A28">
      <w:pPr>
        <w:ind w:left="2880"/>
        <w:rPr>
          <w:b/>
        </w:rPr>
      </w:pPr>
      <w:r w:rsidRPr="009D65CA">
        <w:rPr>
          <w:b/>
        </w:rPr>
        <w:t>Funding—2. County Commission Support</w:t>
      </w:r>
    </w:p>
    <w:p w:rsidR="00404A28" w:rsidRPr="009D65CA" w:rsidRDefault="00404A28" w:rsidP="00404A28">
      <w:pPr>
        <w:ind w:left="2880"/>
        <w:rPr>
          <w:b/>
        </w:rPr>
      </w:pPr>
      <w:r w:rsidRPr="009D65CA">
        <w:rPr>
          <w:b/>
        </w:rPr>
        <w:t>Funding—3. Operating Reserves</w:t>
      </w:r>
    </w:p>
    <w:p w:rsidR="00404A28" w:rsidRPr="009D65CA" w:rsidRDefault="00404A28" w:rsidP="00404A28">
      <w:pPr>
        <w:ind w:left="2880"/>
        <w:rPr>
          <w:b/>
        </w:rPr>
      </w:pPr>
      <w:r w:rsidRPr="009D65CA">
        <w:rPr>
          <w:b/>
        </w:rPr>
        <w:t>Funding—4. Council Operations—Bonds, Insurance</w:t>
      </w:r>
    </w:p>
    <w:p w:rsidR="00C65251" w:rsidRPr="009D65CA" w:rsidRDefault="00404A28" w:rsidP="00C65251">
      <w:pPr>
        <w:numPr>
          <w:ilvl w:val="3"/>
          <w:numId w:val="13"/>
        </w:numPr>
        <w:rPr>
          <w:b/>
        </w:rPr>
      </w:pPr>
      <w:r w:rsidRPr="009D65CA">
        <w:rPr>
          <w:b/>
        </w:rPr>
        <w:t xml:space="preserve">Office—1 Council Paid Receptionist and Office Support </w:t>
      </w:r>
      <w:r w:rsidR="00C65251" w:rsidRPr="009D65CA">
        <w:rPr>
          <w:b/>
        </w:rPr>
        <w:t xml:space="preserve">  </w:t>
      </w:r>
    </w:p>
    <w:p w:rsidR="00625A7F" w:rsidRPr="009D65CA" w:rsidRDefault="00625A7F" w:rsidP="00625A7F">
      <w:pPr>
        <w:rPr>
          <w:b/>
          <w:sz w:val="28"/>
          <w:szCs w:val="28"/>
        </w:rPr>
      </w:pPr>
    </w:p>
    <w:p w:rsidR="00625A7F" w:rsidRDefault="00625A7F" w:rsidP="00625A7F">
      <w:pPr>
        <w:rPr>
          <w:b/>
          <w:sz w:val="28"/>
          <w:szCs w:val="28"/>
        </w:rPr>
      </w:pPr>
    </w:p>
    <w:p w:rsidR="00625A7F" w:rsidRPr="00524532" w:rsidRDefault="00435A4C" w:rsidP="00625A7F">
      <w:pPr>
        <w:numPr>
          <w:ilvl w:val="0"/>
          <w:numId w:val="9"/>
        </w:numPr>
        <w:rPr>
          <w:b/>
        </w:rPr>
      </w:pPr>
      <w:r>
        <w:rPr>
          <w:b/>
        </w:rPr>
        <w:t xml:space="preserve">Funding Guidelines for </w:t>
      </w:r>
      <w:r w:rsidR="002940E1">
        <w:rPr>
          <w:b/>
        </w:rPr>
        <w:t>201</w:t>
      </w:r>
      <w:r w:rsidR="00E90040">
        <w:rPr>
          <w:b/>
        </w:rPr>
        <w:t>7</w:t>
      </w:r>
      <w:r w:rsidR="002940E1">
        <w:rPr>
          <w:b/>
        </w:rPr>
        <w:t xml:space="preserve"> </w:t>
      </w:r>
      <w:r w:rsidR="00625A7F">
        <w:rPr>
          <w:b/>
        </w:rPr>
        <w:t>Narrative and Spreadsheet</w:t>
      </w:r>
      <w:r w:rsidR="00625A7F" w:rsidRPr="00524532">
        <w:rPr>
          <w:b/>
        </w:rPr>
        <w:t xml:space="preserve"> and Narrative</w:t>
      </w:r>
      <w:r w:rsidR="00625A7F">
        <w:rPr>
          <w:b/>
        </w:rPr>
        <w:t>—</w:t>
      </w:r>
    </w:p>
    <w:p w:rsidR="00625A7F" w:rsidRDefault="00625A7F" w:rsidP="00625A7F">
      <w:pPr>
        <w:numPr>
          <w:ilvl w:val="1"/>
          <w:numId w:val="9"/>
        </w:numPr>
      </w:pPr>
      <w:r>
        <w:t>This document is to be used with county commissions and partners i</w:t>
      </w:r>
      <w:r w:rsidR="009D65CA">
        <w:t>n</w:t>
      </w:r>
      <w:r>
        <w:t xml:space="preserve"> securing funding to fund local extension operations and programming. The values are based upon statewide averages submitted through financial reports by county councils. The accompanying narrative describes each of the line items in the suggested budget.</w:t>
      </w:r>
    </w:p>
    <w:p w:rsidR="00625A7F" w:rsidRDefault="00625A7F" w:rsidP="00625A7F">
      <w:pPr>
        <w:ind w:left="1080"/>
      </w:pPr>
    </w:p>
    <w:p w:rsidR="00C65251" w:rsidRPr="00C65251" w:rsidRDefault="00404A28" w:rsidP="00404A28">
      <w:pPr>
        <w:rPr>
          <w:color w:val="000000"/>
        </w:rPr>
      </w:pPr>
      <w:r w:rsidRPr="00C65251">
        <w:rPr>
          <w:b/>
          <w:color w:val="000000"/>
        </w:rPr>
        <w:t>Resources to contact</w:t>
      </w:r>
      <w:r w:rsidR="00625A7F">
        <w:rPr>
          <w:b/>
          <w:color w:val="000000"/>
        </w:rPr>
        <w:t xml:space="preserve"> with questions about County Funding</w:t>
      </w:r>
      <w:r w:rsidRPr="00C65251">
        <w:rPr>
          <w:b/>
          <w:color w:val="000000"/>
        </w:rPr>
        <w:t>:</w:t>
      </w:r>
      <w:r w:rsidR="00C65251" w:rsidRPr="00C65251">
        <w:rPr>
          <w:color w:val="000000"/>
        </w:rPr>
        <w:t xml:space="preserve">  County Program Director</w:t>
      </w:r>
      <w:r w:rsidR="00625A7F">
        <w:rPr>
          <w:color w:val="000000"/>
        </w:rPr>
        <w:t>s</w:t>
      </w:r>
      <w:r w:rsidR="00C65251" w:rsidRPr="00C65251">
        <w:rPr>
          <w:color w:val="000000"/>
        </w:rPr>
        <w:t>, Regional Director</w:t>
      </w:r>
      <w:r w:rsidR="00625A7F">
        <w:rPr>
          <w:color w:val="000000"/>
        </w:rPr>
        <w:t>s</w:t>
      </w:r>
      <w:r w:rsidR="00C65251" w:rsidRPr="00C65251">
        <w:rPr>
          <w:color w:val="000000"/>
        </w:rPr>
        <w:t>,</w:t>
      </w:r>
      <w:r w:rsidR="006D442C">
        <w:rPr>
          <w:color w:val="000000"/>
        </w:rPr>
        <w:t xml:space="preserve"> </w:t>
      </w:r>
      <w:r w:rsidR="00B33B8E" w:rsidRPr="00B33B8E">
        <w:rPr>
          <w:color w:val="000000"/>
        </w:rPr>
        <w:t>Associate Vice Provost</w:t>
      </w:r>
      <w:r w:rsidR="0033244E">
        <w:rPr>
          <w:color w:val="000000"/>
        </w:rPr>
        <w:t xml:space="preserve"> and</w:t>
      </w:r>
      <w:r w:rsidR="006D442C">
        <w:rPr>
          <w:color w:val="000000"/>
        </w:rPr>
        <w:t xml:space="preserve"> </w:t>
      </w:r>
      <w:r w:rsidR="00EA1634">
        <w:rPr>
          <w:color w:val="000000"/>
        </w:rPr>
        <w:t xml:space="preserve">Extension </w:t>
      </w:r>
      <w:r w:rsidR="00C65251" w:rsidRPr="00C65251">
        <w:rPr>
          <w:color w:val="000000"/>
        </w:rPr>
        <w:t>County Council Coordinator</w:t>
      </w:r>
      <w:r w:rsidR="00EA1634">
        <w:rPr>
          <w:color w:val="000000"/>
        </w:rPr>
        <w:t>.</w:t>
      </w:r>
      <w:r w:rsidR="00C65251" w:rsidRPr="00C65251">
        <w:rPr>
          <w:color w:val="000000"/>
        </w:rPr>
        <w:t xml:space="preserve"> </w:t>
      </w:r>
    </w:p>
    <w:p w:rsidR="002162E9" w:rsidRPr="007C77F7" w:rsidRDefault="002162E9" w:rsidP="00404A28">
      <w:pPr>
        <w:rPr>
          <w:color w:val="FF0000"/>
        </w:rPr>
      </w:pPr>
    </w:p>
    <w:p w:rsidR="00404A28" w:rsidRPr="00625A7F" w:rsidRDefault="00404A28" w:rsidP="00404A28">
      <w:pPr>
        <w:rPr>
          <w:b/>
          <w:sz w:val="28"/>
          <w:szCs w:val="28"/>
          <w:u w:val="single"/>
        </w:rPr>
      </w:pPr>
      <w:r w:rsidRPr="00625A7F">
        <w:rPr>
          <w:b/>
          <w:sz w:val="28"/>
          <w:szCs w:val="28"/>
          <w:u w:val="single"/>
        </w:rPr>
        <w:lastRenderedPageBreak/>
        <w:t>Decision points and actions in regards to extension programming, services and personnel.</w:t>
      </w:r>
    </w:p>
    <w:p w:rsidR="00C65251" w:rsidRDefault="00C65251" w:rsidP="00404A28">
      <w:pPr>
        <w:rPr>
          <w:b/>
          <w:sz w:val="28"/>
          <w:szCs w:val="28"/>
        </w:rPr>
      </w:pPr>
    </w:p>
    <w:p w:rsidR="00C65251" w:rsidRPr="00C65251" w:rsidRDefault="00C65251" w:rsidP="00404A28">
      <w:r>
        <w:t>When local funding does not meet the need of the local operation, there are several decisions that must be made.  These decisions will be based on both fiscal and operational factors.  These decision points will determine what actions the University and the local partnership will take.</w:t>
      </w:r>
    </w:p>
    <w:p w:rsidR="00404A28" w:rsidRDefault="00404A28" w:rsidP="00404A28"/>
    <w:p w:rsidR="00404A28" w:rsidRDefault="00404A28" w:rsidP="00404A28">
      <w:r>
        <w:t xml:space="preserve">Decision points may involve the </w:t>
      </w:r>
    </w:p>
    <w:p w:rsidR="00404A28" w:rsidRDefault="009D65CA" w:rsidP="00404A28">
      <w:pPr>
        <w:numPr>
          <w:ilvl w:val="0"/>
          <w:numId w:val="11"/>
        </w:numPr>
      </w:pPr>
      <w:r>
        <w:t>Relocation, replacement or removal</w:t>
      </w:r>
      <w:r w:rsidR="00404A28">
        <w:t xml:space="preserve"> of programs</w:t>
      </w:r>
    </w:p>
    <w:p w:rsidR="00404A28" w:rsidRDefault="009D65CA" w:rsidP="00404A28">
      <w:pPr>
        <w:numPr>
          <w:ilvl w:val="0"/>
          <w:numId w:val="11"/>
        </w:numPr>
      </w:pPr>
      <w:r>
        <w:t>Relocation, replacement or removal</w:t>
      </w:r>
      <w:r w:rsidR="00404A28">
        <w:t xml:space="preserve"> of services</w:t>
      </w:r>
    </w:p>
    <w:p w:rsidR="00404A28" w:rsidRDefault="009D65CA" w:rsidP="00404A28">
      <w:pPr>
        <w:numPr>
          <w:ilvl w:val="0"/>
          <w:numId w:val="11"/>
        </w:numPr>
      </w:pPr>
      <w:r>
        <w:t xml:space="preserve">Relocation, </w:t>
      </w:r>
      <w:r w:rsidR="0012374D" w:rsidRPr="0065523E">
        <w:t>replacement</w:t>
      </w:r>
      <w:r>
        <w:t xml:space="preserve"> or removal of</w:t>
      </w:r>
      <w:r w:rsidR="00404A28">
        <w:t xml:space="preserve"> University of Missouri Extension personnel.</w:t>
      </w:r>
    </w:p>
    <w:p w:rsidR="00404A28" w:rsidRDefault="00404A28" w:rsidP="00404A28">
      <w:pPr>
        <w:ind w:left="360"/>
      </w:pPr>
    </w:p>
    <w:p w:rsidR="00404A28" w:rsidRDefault="00404A28" w:rsidP="00404A28">
      <w:r>
        <w:t xml:space="preserve">The following criteria will be used in making these decisions and will be evaluated on a </w:t>
      </w:r>
      <w:r w:rsidRPr="00C85189">
        <w:rPr>
          <w:b/>
          <w:color w:val="000000"/>
        </w:rPr>
        <w:t>case-by-case basis</w:t>
      </w:r>
      <w:r w:rsidRPr="00C7387D">
        <w:rPr>
          <w:b/>
          <w:color w:val="339966"/>
        </w:rPr>
        <w:t xml:space="preserve"> </w:t>
      </w:r>
      <w:r>
        <w:t>by the regional director</w:t>
      </w:r>
      <w:r w:rsidR="00B33B8E">
        <w:t xml:space="preserve"> </w:t>
      </w:r>
      <w:r w:rsidR="00CA7B5E">
        <w:t>and</w:t>
      </w:r>
      <w:r w:rsidR="0033244E">
        <w:t xml:space="preserve"> the</w:t>
      </w:r>
      <w:r w:rsidR="00CA7B5E">
        <w:t xml:space="preserve"> </w:t>
      </w:r>
      <w:r w:rsidR="00B33B8E" w:rsidRPr="00B33B8E">
        <w:t>Associate Vice Provost</w:t>
      </w:r>
      <w:r w:rsidR="00B33B8E">
        <w:t xml:space="preserve"> </w:t>
      </w:r>
      <w:r>
        <w:t>in consultation with the local extension council.</w:t>
      </w:r>
    </w:p>
    <w:p w:rsidR="00C85189" w:rsidRDefault="00C85189" w:rsidP="00404A28"/>
    <w:p w:rsidR="00CA7B5E" w:rsidRDefault="00C85189" w:rsidP="00CA7B5E">
      <w:pPr>
        <w:numPr>
          <w:ilvl w:val="0"/>
          <w:numId w:val="10"/>
        </w:numPr>
        <w:rPr>
          <w:rFonts w:ascii="Arial" w:hAnsi="Arial" w:cs="Arial"/>
          <w:color w:val="000000"/>
        </w:rPr>
      </w:pPr>
      <w:r w:rsidRPr="00847B33">
        <w:rPr>
          <w:b/>
          <w:color w:val="000000"/>
        </w:rPr>
        <w:t>What if a county extension council’s funding/situation is such that there are multiple “at-risk” factors evident as measured by the “</w:t>
      </w:r>
      <w:r w:rsidR="00847B33" w:rsidRPr="00847B33">
        <w:rPr>
          <w:b/>
          <w:color w:val="000000"/>
        </w:rPr>
        <w:t xml:space="preserve">County Extension Council Assessment Tool for Viability.” </w:t>
      </w:r>
    </w:p>
    <w:p w:rsidR="00C85189" w:rsidRPr="00C85189" w:rsidRDefault="00C85189" w:rsidP="00C85189">
      <w:pPr>
        <w:numPr>
          <w:ilvl w:val="1"/>
          <w:numId w:val="10"/>
        </w:numPr>
        <w:rPr>
          <w:rFonts w:ascii="Arial" w:hAnsi="Arial" w:cs="Arial"/>
          <w:color w:val="000000"/>
        </w:rPr>
      </w:pPr>
      <w:r w:rsidRPr="004868A3">
        <w:t>For each criterion that was in the “at-risk” rating, a plan of action (short-term and long-term) will be developed by the council for movement into the minimum/</w:t>
      </w:r>
      <w:r w:rsidR="00942CEE" w:rsidRPr="00942CEE">
        <w:rPr>
          <w:color w:val="000000"/>
        </w:rPr>
        <w:t xml:space="preserve">safe criteria. They must </w:t>
      </w:r>
      <w:r w:rsidR="00CA7B5E">
        <w:t>dem</w:t>
      </w:r>
      <w:r w:rsidRPr="004868A3">
        <w:t xml:space="preserve">onstrate sustainability in </w:t>
      </w:r>
      <w:r w:rsidRPr="00C85189">
        <w:rPr>
          <w:color w:val="000000"/>
        </w:rPr>
        <w:t>funding to house faculty.</w:t>
      </w:r>
      <w:r w:rsidRPr="00C85189">
        <w:rPr>
          <w:rFonts w:ascii="Arial" w:hAnsi="Arial" w:cs="Arial"/>
          <w:color w:val="000000"/>
        </w:rPr>
        <w:t xml:space="preserve"> </w:t>
      </w:r>
    </w:p>
    <w:p w:rsidR="00C85189" w:rsidRDefault="00C85189" w:rsidP="00C85189">
      <w:pPr>
        <w:numPr>
          <w:ilvl w:val="1"/>
          <w:numId w:val="10"/>
        </w:numPr>
        <w:rPr>
          <w:color w:val="000000"/>
        </w:rPr>
      </w:pPr>
      <w:r w:rsidRPr="00C85189">
        <w:rPr>
          <w:color w:val="000000"/>
        </w:rPr>
        <w:t xml:space="preserve">In counties with multiple specialist positions, when the at-risk factors are such that the </w:t>
      </w:r>
      <w:r w:rsidR="00625A7F">
        <w:rPr>
          <w:color w:val="000000"/>
        </w:rPr>
        <w:t>R</w:t>
      </w:r>
      <w:r w:rsidRPr="00C85189">
        <w:rPr>
          <w:color w:val="000000"/>
        </w:rPr>
        <w:t xml:space="preserve">egional </w:t>
      </w:r>
      <w:r w:rsidR="00625A7F">
        <w:rPr>
          <w:color w:val="000000"/>
        </w:rPr>
        <w:t>D</w:t>
      </w:r>
      <w:r w:rsidRPr="00C85189">
        <w:rPr>
          <w:color w:val="000000"/>
        </w:rPr>
        <w:t xml:space="preserve">irector </w:t>
      </w:r>
      <w:r w:rsidR="00CA7B5E">
        <w:t xml:space="preserve">and </w:t>
      </w:r>
      <w:r w:rsidR="0033244E">
        <w:t xml:space="preserve">the </w:t>
      </w:r>
      <w:r w:rsidR="00B33B8E" w:rsidRPr="0033244E">
        <w:t>Associate Vice Provost</w:t>
      </w:r>
      <w:r w:rsidR="00B33B8E">
        <w:t xml:space="preserve"> </w:t>
      </w:r>
      <w:r w:rsidR="00CA7B5E" w:rsidRPr="00C85189">
        <w:rPr>
          <w:color w:val="000000"/>
        </w:rPr>
        <w:t>determine</w:t>
      </w:r>
      <w:r w:rsidRPr="00C85189">
        <w:rPr>
          <w:color w:val="000000"/>
        </w:rPr>
        <w:t xml:space="preserve"> the county </w:t>
      </w:r>
      <w:r w:rsidR="00676F36" w:rsidRPr="00C85189">
        <w:rPr>
          <w:color w:val="000000"/>
        </w:rPr>
        <w:t>cannot</w:t>
      </w:r>
      <w:r w:rsidRPr="00C85189">
        <w:rPr>
          <w:color w:val="000000"/>
        </w:rPr>
        <w:t xml:space="preserve"> </w:t>
      </w:r>
      <w:r w:rsidRPr="0065523E">
        <w:rPr>
          <w:color w:val="000000"/>
        </w:rPr>
        <w:t xml:space="preserve">support </w:t>
      </w:r>
      <w:r w:rsidR="00077DF6" w:rsidRPr="0065523E">
        <w:rPr>
          <w:color w:val="000000"/>
        </w:rPr>
        <w:t>the</w:t>
      </w:r>
      <w:r w:rsidR="00077DF6">
        <w:rPr>
          <w:color w:val="000000"/>
        </w:rPr>
        <w:t xml:space="preserve"> </w:t>
      </w:r>
      <w:r w:rsidRPr="00C85189">
        <w:rPr>
          <w:color w:val="000000"/>
        </w:rPr>
        <w:t xml:space="preserve">current staffing level, extension will develop a plan to remove positions to a level where local funds can support the staffing level. </w:t>
      </w:r>
    </w:p>
    <w:p w:rsidR="001603F4" w:rsidRDefault="000C5539" w:rsidP="00C85189">
      <w:pPr>
        <w:numPr>
          <w:ilvl w:val="1"/>
          <w:numId w:val="10"/>
        </w:numPr>
        <w:rPr>
          <w:color w:val="000000"/>
        </w:rPr>
      </w:pPr>
      <w:r>
        <w:rPr>
          <w:color w:val="000000"/>
        </w:rPr>
        <w:t>County will examine actual revenue and expenses to determine if the county can</w:t>
      </w:r>
      <w:r w:rsidR="001603F4">
        <w:rPr>
          <w:color w:val="000000"/>
        </w:rPr>
        <w:t xml:space="preserve"> adequ</w:t>
      </w:r>
      <w:r>
        <w:rPr>
          <w:color w:val="000000"/>
        </w:rPr>
        <w:t>ately support</w:t>
      </w:r>
      <w:r w:rsidR="006307C3">
        <w:rPr>
          <w:color w:val="000000"/>
        </w:rPr>
        <w:t xml:space="preserve"> the FTE housed in</w:t>
      </w:r>
      <w:r w:rsidR="001603F4">
        <w:rPr>
          <w:color w:val="000000"/>
        </w:rPr>
        <w:t xml:space="preserve"> the county</w:t>
      </w:r>
      <w:r w:rsidR="006307C3">
        <w:rPr>
          <w:color w:val="000000"/>
        </w:rPr>
        <w:t>.</w:t>
      </w:r>
    </w:p>
    <w:p w:rsidR="00C85189" w:rsidRDefault="00C85189" w:rsidP="00C85189">
      <w:pPr>
        <w:rPr>
          <w:color w:val="000000"/>
        </w:rPr>
      </w:pPr>
    </w:p>
    <w:p w:rsidR="00C85189" w:rsidRPr="00C85189" w:rsidRDefault="00C85189" w:rsidP="00C85189">
      <w:pPr>
        <w:numPr>
          <w:ilvl w:val="0"/>
          <w:numId w:val="10"/>
        </w:numPr>
        <w:rPr>
          <w:b/>
          <w:color w:val="000000"/>
        </w:rPr>
      </w:pPr>
      <w:r w:rsidRPr="00C85189">
        <w:rPr>
          <w:b/>
          <w:color w:val="000000"/>
        </w:rPr>
        <w:t xml:space="preserve">What if a county extension council receives </w:t>
      </w:r>
      <w:r w:rsidRPr="00C85189">
        <w:rPr>
          <w:b/>
          <w:i/>
          <w:color w:val="000000"/>
        </w:rPr>
        <w:t>only the state statute minimum</w:t>
      </w:r>
      <w:r w:rsidRPr="00C85189">
        <w:rPr>
          <w:b/>
          <w:color w:val="000000"/>
        </w:rPr>
        <w:t xml:space="preserve"> in county appropriations?</w:t>
      </w:r>
    </w:p>
    <w:p w:rsidR="00C85189" w:rsidRPr="001E0B4E" w:rsidRDefault="00C85189" w:rsidP="00C85189">
      <w:pPr>
        <w:numPr>
          <w:ilvl w:val="1"/>
          <w:numId w:val="10"/>
        </w:numPr>
        <w:rPr>
          <w:i/>
        </w:rPr>
      </w:pPr>
      <w:r>
        <w:t xml:space="preserve">The County Extension Council will review its financial resources </w:t>
      </w:r>
      <w:r w:rsidRPr="00C85189">
        <w:rPr>
          <w:color w:val="000000"/>
        </w:rPr>
        <w:t>(in addition to the statute minimum) and determine their best mix for</w:t>
      </w:r>
      <w:r>
        <w:t xml:space="preserve"> investment to </w:t>
      </w:r>
      <w:r w:rsidRPr="001E0B4E">
        <w:rPr>
          <w:i/>
        </w:rPr>
        <w:t>sustain programming.</w:t>
      </w:r>
    </w:p>
    <w:p w:rsidR="00C85189" w:rsidRPr="00C85189" w:rsidRDefault="00C85189" w:rsidP="00C85189">
      <w:pPr>
        <w:numPr>
          <w:ilvl w:val="1"/>
          <w:numId w:val="10"/>
        </w:numPr>
        <w:rPr>
          <w:color w:val="000000"/>
        </w:rPr>
      </w:pPr>
      <w:r w:rsidRPr="00C85189">
        <w:rPr>
          <w:color w:val="000000"/>
        </w:rPr>
        <w:t>Faculty in the region will continue to be assigned to program in the county as resources are available to support programming.</w:t>
      </w:r>
    </w:p>
    <w:p w:rsidR="000C5539" w:rsidRDefault="000C5539" w:rsidP="000C5539">
      <w:pPr>
        <w:numPr>
          <w:ilvl w:val="1"/>
          <w:numId w:val="10"/>
        </w:numPr>
        <w:rPr>
          <w:color w:val="000000"/>
        </w:rPr>
      </w:pPr>
      <w:r>
        <w:rPr>
          <w:color w:val="000000"/>
        </w:rPr>
        <w:t>County will examine actual revenue and expenses to determine if the county can adequately support the FTE housed in the county.</w:t>
      </w:r>
    </w:p>
    <w:p w:rsidR="00CA7B5E" w:rsidRDefault="00AF0E9C" w:rsidP="000C5539">
      <w:pPr>
        <w:numPr>
          <w:ilvl w:val="1"/>
          <w:numId w:val="10"/>
        </w:numPr>
        <w:rPr>
          <w:color w:val="000000"/>
        </w:rPr>
      </w:pPr>
      <w:r>
        <w:t xml:space="preserve">If the budget or reserves do not sustain the FTE assigned to the county, the regional director will work with the county council and the county program director to reassign faculty and </w:t>
      </w:r>
      <w:r w:rsidRPr="0065523E">
        <w:t>staff, if</w:t>
      </w:r>
      <w:r>
        <w:t xml:space="preserve"> possible, within the region.</w:t>
      </w:r>
    </w:p>
    <w:p w:rsidR="00CA7B5E" w:rsidRDefault="00CA7B5E">
      <w:pPr>
        <w:ind w:left="1440"/>
      </w:pPr>
    </w:p>
    <w:p w:rsidR="0043629F" w:rsidRDefault="0043629F" w:rsidP="0043629F"/>
    <w:p w:rsidR="0043629F" w:rsidRDefault="0043629F" w:rsidP="0043629F"/>
    <w:p w:rsidR="0043629F" w:rsidRDefault="0043629F" w:rsidP="0043629F"/>
    <w:p w:rsidR="00404A28" w:rsidRPr="00C85189" w:rsidRDefault="00404A28" w:rsidP="00404A28">
      <w:pPr>
        <w:numPr>
          <w:ilvl w:val="0"/>
          <w:numId w:val="10"/>
        </w:numPr>
        <w:rPr>
          <w:b/>
          <w:color w:val="000000"/>
        </w:rPr>
      </w:pPr>
      <w:r w:rsidRPr="00C85189">
        <w:rPr>
          <w:b/>
          <w:color w:val="000000"/>
        </w:rPr>
        <w:t xml:space="preserve">What if a county extension council receives </w:t>
      </w:r>
      <w:r w:rsidRPr="00C85189">
        <w:rPr>
          <w:b/>
          <w:i/>
          <w:color w:val="000000"/>
        </w:rPr>
        <w:t>below state statu</w:t>
      </w:r>
      <w:r w:rsidR="009D65CA">
        <w:rPr>
          <w:b/>
          <w:i/>
          <w:color w:val="000000"/>
        </w:rPr>
        <w:t>t</w:t>
      </w:r>
      <w:r w:rsidRPr="00C85189">
        <w:rPr>
          <w:b/>
          <w:i/>
          <w:color w:val="000000"/>
        </w:rPr>
        <w:t>e minimum</w:t>
      </w:r>
      <w:r w:rsidR="009D65CA">
        <w:rPr>
          <w:b/>
          <w:i/>
          <w:color w:val="000000"/>
        </w:rPr>
        <w:t xml:space="preserve"> </w:t>
      </w:r>
      <w:r w:rsidRPr="00C85189">
        <w:rPr>
          <w:b/>
          <w:color w:val="000000"/>
        </w:rPr>
        <w:t>in county appropriations?</w:t>
      </w:r>
    </w:p>
    <w:p w:rsidR="00404A28" w:rsidRDefault="00404A28" w:rsidP="00404A28">
      <w:pPr>
        <w:numPr>
          <w:ilvl w:val="1"/>
          <w:numId w:val="10"/>
        </w:numPr>
      </w:pPr>
      <w:r>
        <w:t>There will be no county-based extension programming or services—offered locally, regionally or by state personnel.</w:t>
      </w:r>
    </w:p>
    <w:p w:rsidR="00C85189" w:rsidRDefault="00404A28" w:rsidP="00404A28">
      <w:pPr>
        <w:numPr>
          <w:ilvl w:val="1"/>
          <w:numId w:val="10"/>
        </w:numPr>
      </w:pPr>
      <w:r>
        <w:t xml:space="preserve">No </w:t>
      </w:r>
      <w:r w:rsidR="004C0AE0">
        <w:t xml:space="preserve">extension county-based </w:t>
      </w:r>
      <w:r>
        <w:t>faculty will be headquartered in the county and no faculty in the region will be assigned to serve the county</w:t>
      </w:r>
      <w:r w:rsidR="004C0AE0">
        <w:t>.</w:t>
      </w:r>
      <w:r>
        <w:t xml:space="preserve"> </w:t>
      </w:r>
      <w:r w:rsidR="00C85189">
        <w:t xml:space="preserve">  The regional </w:t>
      </w:r>
      <w:r w:rsidR="00C85189" w:rsidRPr="0065523E">
        <w:t>director will work with the county council and will reassign faculty within the region</w:t>
      </w:r>
      <w:r w:rsidR="00C96A8F" w:rsidRPr="0065523E">
        <w:t>,</w:t>
      </w:r>
      <w:r w:rsidR="00C85189">
        <w:t xml:space="preserve"> if possible.  </w:t>
      </w:r>
    </w:p>
    <w:p w:rsidR="004C0AE0" w:rsidRDefault="00404A28" w:rsidP="00404A28">
      <w:pPr>
        <w:numPr>
          <w:ilvl w:val="1"/>
          <w:numId w:val="10"/>
        </w:numPr>
      </w:pPr>
      <w:r>
        <w:t>There will be no extension county-based faculty</w:t>
      </w:r>
      <w:r w:rsidR="004C0AE0">
        <w:t xml:space="preserve">. </w:t>
      </w:r>
    </w:p>
    <w:p w:rsidR="00404A28" w:rsidRDefault="00404A28" w:rsidP="00404A28">
      <w:pPr>
        <w:numPr>
          <w:ilvl w:val="1"/>
          <w:numId w:val="10"/>
        </w:numPr>
      </w:pPr>
      <w:r>
        <w:t>Residents may participate in extension programming and access services through other</w:t>
      </w:r>
      <w:r w:rsidR="00625A7F">
        <w:t xml:space="preserve"> counties or through the world</w:t>
      </w:r>
      <w:r w:rsidR="004C0AE0">
        <w:t>-</w:t>
      </w:r>
      <w:r w:rsidR="00625A7F">
        <w:t>w</w:t>
      </w:r>
      <w:r>
        <w:t>ide web.</w:t>
      </w:r>
    </w:p>
    <w:p w:rsidR="004C0AE0" w:rsidRDefault="004C0AE0" w:rsidP="00404A28">
      <w:pPr>
        <w:numPr>
          <w:ilvl w:val="1"/>
          <w:numId w:val="10"/>
        </w:numPr>
      </w:pPr>
      <w:r>
        <w:t>A county program director will be assigned by the Regional Director to work with the county council.</w:t>
      </w:r>
    </w:p>
    <w:p w:rsidR="00404A28" w:rsidRPr="004868A3" w:rsidRDefault="00404A28" w:rsidP="00404A28"/>
    <w:p w:rsidR="00404A28" w:rsidRPr="00C85189" w:rsidRDefault="00404A28" w:rsidP="00404A28">
      <w:pPr>
        <w:numPr>
          <w:ilvl w:val="0"/>
          <w:numId w:val="10"/>
        </w:numPr>
        <w:rPr>
          <w:b/>
          <w:color w:val="000000"/>
        </w:rPr>
      </w:pPr>
      <w:r w:rsidRPr="00C85189">
        <w:rPr>
          <w:b/>
          <w:color w:val="000000"/>
        </w:rPr>
        <w:t xml:space="preserve">What if a county extension council reestablishes it’s funding </w:t>
      </w:r>
      <w:r w:rsidR="004C0AE0">
        <w:rPr>
          <w:b/>
          <w:color w:val="000000"/>
        </w:rPr>
        <w:t xml:space="preserve">(from below state statute minimums) </w:t>
      </w:r>
      <w:r w:rsidRPr="00C85189">
        <w:rPr>
          <w:b/>
          <w:color w:val="000000"/>
        </w:rPr>
        <w:t>at or above the state statute minimum for the county?</w:t>
      </w:r>
    </w:p>
    <w:p w:rsidR="00404A28" w:rsidRPr="004868A3" w:rsidRDefault="00404A28" w:rsidP="00404A28">
      <w:pPr>
        <w:numPr>
          <w:ilvl w:val="1"/>
          <w:numId w:val="10"/>
        </w:numPr>
      </w:pPr>
      <w:r>
        <w:t xml:space="preserve">The County Extension Council will review its financial resources and determine their best mix for investment to </w:t>
      </w:r>
      <w:r w:rsidRPr="004C0AE0">
        <w:rPr>
          <w:b/>
          <w:i/>
        </w:rPr>
        <w:t>sustain programming.</w:t>
      </w:r>
    </w:p>
    <w:p w:rsidR="00404A28" w:rsidRDefault="00404A28" w:rsidP="00404A28">
      <w:pPr>
        <w:numPr>
          <w:ilvl w:val="1"/>
          <w:numId w:val="10"/>
        </w:numPr>
      </w:pPr>
      <w:r w:rsidRPr="004868A3">
        <w:t xml:space="preserve"> </w:t>
      </w:r>
      <w:r>
        <w:t>No faculty will be headquartered in the county until the county can sustain a level of funding at the minimum/safe level referencing the “Funding Guidelines for County Extension Councils” and “</w:t>
      </w:r>
      <w:r w:rsidR="00847B33">
        <w:t xml:space="preserve">County Extension Council Assessment Tool for Viability” </w:t>
      </w:r>
      <w:r>
        <w:t>for 12 to 18 months.</w:t>
      </w:r>
    </w:p>
    <w:p w:rsidR="004C0AE0" w:rsidRDefault="004C0AE0" w:rsidP="004C0AE0">
      <w:pPr>
        <w:numPr>
          <w:ilvl w:val="1"/>
          <w:numId w:val="10"/>
        </w:numPr>
      </w:pPr>
      <w:r>
        <w:t>A county program director will be assigned to the County Extension Council</w:t>
      </w:r>
      <w:r w:rsidR="00847B33">
        <w:t>.</w:t>
      </w:r>
    </w:p>
    <w:p w:rsidR="004C0AE0" w:rsidRDefault="004C0AE0" w:rsidP="004C0AE0">
      <w:pPr>
        <w:numPr>
          <w:ilvl w:val="1"/>
          <w:numId w:val="10"/>
        </w:numPr>
      </w:pPr>
      <w:r>
        <w:t>The County Extension Council should prepare a</w:t>
      </w:r>
      <w:r w:rsidR="00847B33">
        <w:t xml:space="preserve"> 3 year</w:t>
      </w:r>
      <w:r>
        <w:t xml:space="preserve"> action </w:t>
      </w:r>
      <w:r w:rsidR="003D43B6">
        <w:t xml:space="preserve">plan </w:t>
      </w:r>
      <w:r>
        <w:t>for sustainable funding.</w:t>
      </w:r>
    </w:p>
    <w:p w:rsidR="004C0AE0" w:rsidRDefault="004C0AE0" w:rsidP="004C0AE0">
      <w:pPr>
        <w:numPr>
          <w:ilvl w:val="1"/>
          <w:numId w:val="10"/>
        </w:numPr>
      </w:pPr>
      <w:r>
        <w:t>Upon reestablished funding, program efforts in the county will be renewed.</w:t>
      </w:r>
    </w:p>
    <w:p w:rsidR="00CA7B5E" w:rsidRDefault="00CA7B5E">
      <w:pPr>
        <w:ind w:left="1440"/>
      </w:pPr>
    </w:p>
    <w:p w:rsidR="00CA7B5E" w:rsidRDefault="007D6827">
      <w:pPr>
        <w:numPr>
          <w:ilvl w:val="0"/>
          <w:numId w:val="10"/>
        </w:numPr>
      </w:pPr>
      <w:r>
        <w:rPr>
          <w:b/>
        </w:rPr>
        <w:t xml:space="preserve">What if county extension council has more than six months operating expenses in reserve </w:t>
      </w:r>
      <w:r w:rsidR="00406BAE">
        <w:rPr>
          <w:b/>
        </w:rPr>
        <w:t>and no plan is in place for managing the funds to support programming?</w:t>
      </w:r>
    </w:p>
    <w:p w:rsidR="00CA7B5E" w:rsidRDefault="00942CEE">
      <w:pPr>
        <w:numPr>
          <w:ilvl w:val="2"/>
          <w:numId w:val="10"/>
        </w:numPr>
      </w:pPr>
      <w:r w:rsidRPr="00942CEE">
        <w:t xml:space="preserve">County extension council will develop a fiscal plan for using funds which </w:t>
      </w:r>
      <w:r w:rsidR="004616D9">
        <w:t>may</w:t>
      </w:r>
      <w:r w:rsidRPr="00942CEE">
        <w:t xml:space="preserve"> include</w:t>
      </w:r>
      <w:r w:rsidR="00406BAE">
        <w:t>:</w:t>
      </w:r>
    </w:p>
    <w:p w:rsidR="00CA7B5E" w:rsidRDefault="004616D9">
      <w:pPr>
        <w:numPr>
          <w:ilvl w:val="3"/>
          <w:numId w:val="10"/>
        </w:numPr>
      </w:pPr>
      <w:r>
        <w:t xml:space="preserve">Guiding </w:t>
      </w:r>
      <w:r w:rsidR="005621BB">
        <w:t>principles</w:t>
      </w:r>
      <w:r>
        <w:t xml:space="preserve"> for revenue and expenses</w:t>
      </w:r>
      <w:r w:rsidR="00662E71">
        <w:t xml:space="preserve"> </w:t>
      </w:r>
      <w:r w:rsidR="00662E71">
        <w:rPr>
          <w:b/>
        </w:rPr>
        <w:t>clearly identifying purpose for designated funds.</w:t>
      </w:r>
    </w:p>
    <w:p w:rsidR="00CA7B5E" w:rsidRDefault="00406BAE">
      <w:pPr>
        <w:numPr>
          <w:ilvl w:val="3"/>
          <w:numId w:val="10"/>
        </w:numPr>
      </w:pPr>
      <w:r>
        <w:t xml:space="preserve">How and where funds will be invested (distribution funds, </w:t>
      </w:r>
      <w:r w:rsidR="005621BB">
        <w:t>endowment</w:t>
      </w:r>
      <w:r>
        <w:t>, local, etc.)</w:t>
      </w:r>
    </w:p>
    <w:p w:rsidR="00CA7B5E" w:rsidRDefault="00406BAE">
      <w:pPr>
        <w:numPr>
          <w:ilvl w:val="3"/>
          <w:numId w:val="10"/>
        </w:numPr>
      </w:pPr>
      <w:r>
        <w:t xml:space="preserve">Annual allocation guidance </w:t>
      </w:r>
      <w:r w:rsidR="004616D9">
        <w:t xml:space="preserve">to </w:t>
      </w:r>
      <w:r>
        <w:t>support programs</w:t>
      </w:r>
      <w:r w:rsidR="004616D9">
        <w:t xml:space="preserve"> or capital improvements</w:t>
      </w:r>
      <w:r>
        <w:t>.</w:t>
      </w:r>
    </w:p>
    <w:p w:rsidR="007349C0" w:rsidRDefault="007349C0" w:rsidP="00172E5B"/>
    <w:p w:rsidR="007349C0" w:rsidRDefault="007349C0" w:rsidP="00172E5B"/>
    <w:p w:rsidR="00CF1FCD" w:rsidRDefault="00CF1FCD" w:rsidP="00172E5B"/>
    <w:p w:rsidR="00CF1FCD" w:rsidRDefault="00E844EB" w:rsidP="00172E5B">
      <w:r>
        <w:t xml:space="preserve">At Risk Action Plan formats are included on the “County Extension Council Assessment Tool for Viability.” </w:t>
      </w:r>
      <w:r w:rsidR="00816133">
        <w:t>Copies of the action plans should be in the county extension council secretary’s book and referred to frequently. Updates and/or milestones on accomplishing plans should be reflected in council minutes and progress updates provided to the regional director.</w:t>
      </w:r>
    </w:p>
    <w:sectPr w:rsidR="00CF1FCD" w:rsidSect="006D1A84">
      <w:footerReference w:type="even" r:id="rId11"/>
      <w:footerReference w:type="default" r:id="rId12"/>
      <w:pgSz w:w="12240" w:h="15840"/>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A84" w:rsidRDefault="006D1A84">
      <w:r>
        <w:separator/>
      </w:r>
    </w:p>
  </w:endnote>
  <w:endnote w:type="continuationSeparator" w:id="0">
    <w:p w:rsidR="006D1A84" w:rsidRDefault="006D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A84" w:rsidRDefault="00473E78" w:rsidP="00C56932">
    <w:pPr>
      <w:pStyle w:val="Footer"/>
      <w:framePr w:wrap="around" w:vAnchor="text" w:hAnchor="margin" w:xAlign="right" w:y="1"/>
      <w:rPr>
        <w:rStyle w:val="PageNumber"/>
      </w:rPr>
    </w:pPr>
    <w:r>
      <w:rPr>
        <w:rStyle w:val="PageNumber"/>
      </w:rPr>
      <w:fldChar w:fldCharType="begin"/>
    </w:r>
    <w:r w:rsidR="006D1A84">
      <w:rPr>
        <w:rStyle w:val="PageNumber"/>
      </w:rPr>
      <w:instrText xml:space="preserve">PAGE  </w:instrText>
    </w:r>
    <w:r>
      <w:rPr>
        <w:rStyle w:val="PageNumber"/>
      </w:rPr>
      <w:fldChar w:fldCharType="end"/>
    </w:r>
  </w:p>
  <w:p w:rsidR="006D1A84" w:rsidRDefault="006D1A84" w:rsidP="002162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A84" w:rsidRDefault="00473E78" w:rsidP="00C56932">
    <w:pPr>
      <w:pStyle w:val="Footer"/>
      <w:framePr w:wrap="around" w:vAnchor="text" w:hAnchor="margin" w:xAlign="right" w:y="1"/>
      <w:rPr>
        <w:rStyle w:val="PageNumber"/>
      </w:rPr>
    </w:pPr>
    <w:r>
      <w:rPr>
        <w:rStyle w:val="PageNumber"/>
      </w:rPr>
      <w:fldChar w:fldCharType="begin"/>
    </w:r>
    <w:r w:rsidR="006D1A84">
      <w:rPr>
        <w:rStyle w:val="PageNumber"/>
      </w:rPr>
      <w:instrText xml:space="preserve">PAGE  </w:instrText>
    </w:r>
    <w:r>
      <w:rPr>
        <w:rStyle w:val="PageNumber"/>
      </w:rPr>
      <w:fldChar w:fldCharType="separate"/>
    </w:r>
    <w:r w:rsidR="00382158">
      <w:rPr>
        <w:rStyle w:val="PageNumber"/>
        <w:noProof/>
      </w:rPr>
      <w:t>1</w:t>
    </w:r>
    <w:r>
      <w:rPr>
        <w:rStyle w:val="PageNumber"/>
      </w:rPr>
      <w:fldChar w:fldCharType="end"/>
    </w:r>
  </w:p>
  <w:p w:rsidR="006D1A84" w:rsidRDefault="006D1A84" w:rsidP="00AF0E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A84" w:rsidRDefault="006D1A84">
      <w:r>
        <w:separator/>
      </w:r>
    </w:p>
  </w:footnote>
  <w:footnote w:type="continuationSeparator" w:id="0">
    <w:p w:rsidR="006D1A84" w:rsidRDefault="006D1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D4D2B9"/>
    <w:multiLevelType w:val="hybridMultilevel"/>
    <w:tmpl w:val="69BF851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555EA2"/>
    <w:multiLevelType w:val="hybridMultilevel"/>
    <w:tmpl w:val="14C51FC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FE6D60A"/>
    <w:multiLevelType w:val="hybridMultilevel"/>
    <w:tmpl w:val="11A7FBC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4A6DC0"/>
    <w:multiLevelType w:val="hybridMultilevel"/>
    <w:tmpl w:val="705AC492"/>
    <w:lvl w:ilvl="0" w:tplc="FCF28656">
      <w:start w:val="2"/>
      <w:numFmt w:val="upperLetter"/>
      <w:lvlText w:val="%1."/>
      <w:lvlJc w:val="left"/>
      <w:pPr>
        <w:tabs>
          <w:tab w:val="num" w:pos="1296"/>
        </w:tabs>
        <w:ind w:left="1296" w:hanging="396"/>
      </w:pPr>
      <w:rPr>
        <w:rFonts w:hint="default"/>
      </w:rPr>
    </w:lvl>
    <w:lvl w:ilvl="1" w:tplc="9630562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5922B01"/>
    <w:multiLevelType w:val="singleLevel"/>
    <w:tmpl w:val="04B84D76"/>
    <w:lvl w:ilvl="0">
      <w:start w:val="1"/>
      <w:numFmt w:val="decimal"/>
      <w:lvlText w:val="%1."/>
      <w:lvlJc w:val="left"/>
      <w:pPr>
        <w:tabs>
          <w:tab w:val="num" w:pos="720"/>
        </w:tabs>
        <w:ind w:left="720" w:hanging="720"/>
      </w:pPr>
      <w:rPr>
        <w:rFonts w:hint="default"/>
      </w:rPr>
    </w:lvl>
  </w:abstractNum>
  <w:abstractNum w:abstractNumId="5" w15:restartNumberingAfterBreak="0">
    <w:nsid w:val="191F9B56"/>
    <w:multiLevelType w:val="hybridMultilevel"/>
    <w:tmpl w:val="72AC9788"/>
    <w:lvl w:ilvl="0" w:tplc="CF36E3D0">
      <w:start w:val="1"/>
      <w:numFmt w:val="decimal"/>
      <w:suff w:val="nothing"/>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0CC6BF5"/>
    <w:multiLevelType w:val="hybridMultilevel"/>
    <w:tmpl w:val="4BAA16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D623B4"/>
    <w:multiLevelType w:val="hybridMultilevel"/>
    <w:tmpl w:val="466617E2"/>
    <w:lvl w:ilvl="0" w:tplc="03DE956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15:restartNumberingAfterBreak="0">
    <w:nsid w:val="2CB82C79"/>
    <w:multiLevelType w:val="hybridMultilevel"/>
    <w:tmpl w:val="E757BF4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04C94B7"/>
    <w:multiLevelType w:val="hybridMultilevel"/>
    <w:tmpl w:val="0B13ABA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5B44148"/>
    <w:multiLevelType w:val="hybridMultilevel"/>
    <w:tmpl w:val="75888422"/>
    <w:lvl w:ilvl="0" w:tplc="3586D99A">
      <w:start w:val="1"/>
      <w:numFmt w:val="upperLetter"/>
      <w:lvlText w:val="%1."/>
      <w:lvlJc w:val="left"/>
      <w:pPr>
        <w:tabs>
          <w:tab w:val="num" w:pos="1140"/>
        </w:tabs>
        <w:ind w:left="1140" w:hanging="4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8A639D1"/>
    <w:multiLevelType w:val="hybridMultilevel"/>
    <w:tmpl w:val="7298D4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D55034"/>
    <w:multiLevelType w:val="hybridMultilevel"/>
    <w:tmpl w:val="4DCABD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F926D"/>
    <w:multiLevelType w:val="hybridMultilevel"/>
    <w:tmpl w:val="4B186C6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4CE0834"/>
    <w:multiLevelType w:val="hybridMultilevel"/>
    <w:tmpl w:val="5838E574"/>
    <w:lvl w:ilvl="0" w:tplc="5D642E52">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A45216C"/>
    <w:multiLevelType w:val="hybridMultilevel"/>
    <w:tmpl w:val="20445C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15">
      <w:start w:val="1"/>
      <w:numFmt w:val="upp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CD068A"/>
    <w:multiLevelType w:val="hybridMultilevel"/>
    <w:tmpl w:val="26528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41591E"/>
    <w:multiLevelType w:val="singleLevel"/>
    <w:tmpl w:val="0409000F"/>
    <w:lvl w:ilvl="0">
      <w:start w:val="4"/>
      <w:numFmt w:val="decimal"/>
      <w:lvlText w:val="%1."/>
      <w:lvlJc w:val="left"/>
      <w:pPr>
        <w:tabs>
          <w:tab w:val="num" w:pos="360"/>
        </w:tabs>
        <w:ind w:left="360" w:hanging="360"/>
      </w:pPr>
      <w:rPr>
        <w:rFonts w:hint="default"/>
      </w:rPr>
    </w:lvl>
  </w:abstractNum>
  <w:num w:numId="1">
    <w:abstractNumId w:val="14"/>
  </w:num>
  <w:num w:numId="2">
    <w:abstractNumId w:val="5"/>
  </w:num>
  <w:num w:numId="3">
    <w:abstractNumId w:val="8"/>
  </w:num>
  <w:num w:numId="4">
    <w:abstractNumId w:val="9"/>
  </w:num>
  <w:num w:numId="5">
    <w:abstractNumId w:val="1"/>
  </w:num>
  <w:num w:numId="6">
    <w:abstractNumId w:val="2"/>
  </w:num>
  <w:num w:numId="7">
    <w:abstractNumId w:val="13"/>
  </w:num>
  <w:num w:numId="8">
    <w:abstractNumId w:val="0"/>
  </w:num>
  <w:num w:numId="9">
    <w:abstractNumId w:val="12"/>
  </w:num>
  <w:num w:numId="10">
    <w:abstractNumId w:val="6"/>
  </w:num>
  <w:num w:numId="11">
    <w:abstractNumId w:val="16"/>
  </w:num>
  <w:num w:numId="12">
    <w:abstractNumId w:val="7"/>
  </w:num>
  <w:num w:numId="13">
    <w:abstractNumId w:val="15"/>
  </w:num>
  <w:num w:numId="14">
    <w:abstractNumId w:val="4"/>
  </w:num>
  <w:num w:numId="15">
    <w:abstractNumId w:val="17"/>
  </w:num>
  <w:num w:numId="16">
    <w:abstractNumId w:val="3"/>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2"/>
  </w:compat>
  <w:rsids>
    <w:rsidRoot w:val="005057F0"/>
    <w:rsid w:val="000301D5"/>
    <w:rsid w:val="00032069"/>
    <w:rsid w:val="00034795"/>
    <w:rsid w:val="00054CD9"/>
    <w:rsid w:val="0007050F"/>
    <w:rsid w:val="0007056B"/>
    <w:rsid w:val="00073A61"/>
    <w:rsid w:val="00077DF6"/>
    <w:rsid w:val="000B09AC"/>
    <w:rsid w:val="000B3592"/>
    <w:rsid w:val="000C5539"/>
    <w:rsid w:val="000D6FFD"/>
    <w:rsid w:val="001065CB"/>
    <w:rsid w:val="0012374D"/>
    <w:rsid w:val="001571E3"/>
    <w:rsid w:val="001603F4"/>
    <w:rsid w:val="001671D5"/>
    <w:rsid w:val="00172E5B"/>
    <w:rsid w:val="001B254D"/>
    <w:rsid w:val="001E2755"/>
    <w:rsid w:val="00210036"/>
    <w:rsid w:val="00216202"/>
    <w:rsid w:val="002162E9"/>
    <w:rsid w:val="0024079A"/>
    <w:rsid w:val="00260054"/>
    <w:rsid w:val="00270233"/>
    <w:rsid w:val="00286A50"/>
    <w:rsid w:val="002940E1"/>
    <w:rsid w:val="002B27B5"/>
    <w:rsid w:val="002C5B66"/>
    <w:rsid w:val="002F573C"/>
    <w:rsid w:val="002F5D5B"/>
    <w:rsid w:val="0033244E"/>
    <w:rsid w:val="003560E0"/>
    <w:rsid w:val="003605ED"/>
    <w:rsid w:val="00382158"/>
    <w:rsid w:val="003C51E4"/>
    <w:rsid w:val="003C5D62"/>
    <w:rsid w:val="003D1DAD"/>
    <w:rsid w:val="003D43B6"/>
    <w:rsid w:val="003F09B1"/>
    <w:rsid w:val="003F4982"/>
    <w:rsid w:val="00404A28"/>
    <w:rsid w:val="00406BAE"/>
    <w:rsid w:val="00423B9B"/>
    <w:rsid w:val="00435A4C"/>
    <w:rsid w:val="00435DC1"/>
    <w:rsid w:val="0043629F"/>
    <w:rsid w:val="00442A84"/>
    <w:rsid w:val="004616D9"/>
    <w:rsid w:val="00473E78"/>
    <w:rsid w:val="004919C8"/>
    <w:rsid w:val="004B217F"/>
    <w:rsid w:val="004B32DB"/>
    <w:rsid w:val="004C0AE0"/>
    <w:rsid w:val="004E0412"/>
    <w:rsid w:val="005057F0"/>
    <w:rsid w:val="005271C3"/>
    <w:rsid w:val="00541FC4"/>
    <w:rsid w:val="00560056"/>
    <w:rsid w:val="005621BB"/>
    <w:rsid w:val="00574670"/>
    <w:rsid w:val="005774DC"/>
    <w:rsid w:val="00594124"/>
    <w:rsid w:val="00594244"/>
    <w:rsid w:val="005B2162"/>
    <w:rsid w:val="005B42B4"/>
    <w:rsid w:val="00612AC1"/>
    <w:rsid w:val="00614119"/>
    <w:rsid w:val="00625A7F"/>
    <w:rsid w:val="006307C3"/>
    <w:rsid w:val="0065523E"/>
    <w:rsid w:val="00662E71"/>
    <w:rsid w:val="00667D7E"/>
    <w:rsid w:val="00671F88"/>
    <w:rsid w:val="00676F36"/>
    <w:rsid w:val="006D1A84"/>
    <w:rsid w:val="006D442C"/>
    <w:rsid w:val="006E3366"/>
    <w:rsid w:val="00710E3A"/>
    <w:rsid w:val="00732D4C"/>
    <w:rsid w:val="007349C0"/>
    <w:rsid w:val="0077086C"/>
    <w:rsid w:val="00771C28"/>
    <w:rsid w:val="007807B3"/>
    <w:rsid w:val="00790A3A"/>
    <w:rsid w:val="007C610E"/>
    <w:rsid w:val="007D6827"/>
    <w:rsid w:val="007F28A9"/>
    <w:rsid w:val="00816133"/>
    <w:rsid w:val="008430B2"/>
    <w:rsid w:val="00846B7D"/>
    <w:rsid w:val="00847B33"/>
    <w:rsid w:val="008569CA"/>
    <w:rsid w:val="00860A57"/>
    <w:rsid w:val="008B3461"/>
    <w:rsid w:val="008C4639"/>
    <w:rsid w:val="00916222"/>
    <w:rsid w:val="009235D8"/>
    <w:rsid w:val="009275D8"/>
    <w:rsid w:val="00930080"/>
    <w:rsid w:val="00932DE5"/>
    <w:rsid w:val="00942CEE"/>
    <w:rsid w:val="00957AFA"/>
    <w:rsid w:val="00960B47"/>
    <w:rsid w:val="009618EF"/>
    <w:rsid w:val="009814AB"/>
    <w:rsid w:val="009B2D7E"/>
    <w:rsid w:val="009D65CA"/>
    <w:rsid w:val="009F70B5"/>
    <w:rsid w:val="00A53454"/>
    <w:rsid w:val="00A730F7"/>
    <w:rsid w:val="00A91D3A"/>
    <w:rsid w:val="00A938ED"/>
    <w:rsid w:val="00A9618E"/>
    <w:rsid w:val="00AA0DE9"/>
    <w:rsid w:val="00AB6155"/>
    <w:rsid w:val="00AB7107"/>
    <w:rsid w:val="00AE7639"/>
    <w:rsid w:val="00AF0E9C"/>
    <w:rsid w:val="00AF79D3"/>
    <w:rsid w:val="00B20217"/>
    <w:rsid w:val="00B25816"/>
    <w:rsid w:val="00B33B8E"/>
    <w:rsid w:val="00B701C4"/>
    <w:rsid w:val="00B80613"/>
    <w:rsid w:val="00B82492"/>
    <w:rsid w:val="00BC26AE"/>
    <w:rsid w:val="00BC3128"/>
    <w:rsid w:val="00BD39A0"/>
    <w:rsid w:val="00BE2484"/>
    <w:rsid w:val="00BF6FD7"/>
    <w:rsid w:val="00C0294E"/>
    <w:rsid w:val="00C22726"/>
    <w:rsid w:val="00C31A6E"/>
    <w:rsid w:val="00C56932"/>
    <w:rsid w:val="00C60D85"/>
    <w:rsid w:val="00C65251"/>
    <w:rsid w:val="00C83691"/>
    <w:rsid w:val="00C85189"/>
    <w:rsid w:val="00C93A78"/>
    <w:rsid w:val="00C96A8F"/>
    <w:rsid w:val="00CA0B8F"/>
    <w:rsid w:val="00CA10C5"/>
    <w:rsid w:val="00CA6B99"/>
    <w:rsid w:val="00CA7B5E"/>
    <w:rsid w:val="00CF1FCD"/>
    <w:rsid w:val="00D82EF5"/>
    <w:rsid w:val="00D85323"/>
    <w:rsid w:val="00D95D0F"/>
    <w:rsid w:val="00DD5DAD"/>
    <w:rsid w:val="00DD6ABF"/>
    <w:rsid w:val="00DE3F76"/>
    <w:rsid w:val="00DF5417"/>
    <w:rsid w:val="00E1041C"/>
    <w:rsid w:val="00E41A85"/>
    <w:rsid w:val="00E504A5"/>
    <w:rsid w:val="00E844EB"/>
    <w:rsid w:val="00E87E01"/>
    <w:rsid w:val="00E90040"/>
    <w:rsid w:val="00EA1634"/>
    <w:rsid w:val="00EA1A5B"/>
    <w:rsid w:val="00EB5C90"/>
    <w:rsid w:val="00EC11C7"/>
    <w:rsid w:val="00EC17D9"/>
    <w:rsid w:val="00ED167C"/>
    <w:rsid w:val="00ED4B82"/>
    <w:rsid w:val="00ED5A7F"/>
    <w:rsid w:val="00F06D3F"/>
    <w:rsid w:val="00F1285D"/>
    <w:rsid w:val="00F3602D"/>
    <w:rsid w:val="00F43682"/>
    <w:rsid w:val="00F55E15"/>
    <w:rsid w:val="00F602CF"/>
    <w:rsid w:val="00F63794"/>
    <w:rsid w:val="00F72285"/>
    <w:rsid w:val="00F838C0"/>
    <w:rsid w:val="00F947BA"/>
    <w:rsid w:val="00FB7A69"/>
    <w:rsid w:val="00FC6D3F"/>
    <w:rsid w:val="00FE5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B3A51BE"/>
  <w15:docId w15:val="{CDCA47C7-9519-4986-A689-7D13654F0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1D5"/>
    <w:rPr>
      <w:sz w:val="24"/>
      <w:szCs w:val="24"/>
    </w:rPr>
  </w:style>
  <w:style w:type="paragraph" w:styleId="Heading1">
    <w:name w:val="heading 1"/>
    <w:basedOn w:val="Normal"/>
    <w:next w:val="Normal"/>
    <w:qFormat/>
    <w:rsid w:val="00F602CF"/>
    <w:pPr>
      <w:keepNext/>
      <w:jc w:val="center"/>
      <w:outlineLvl w:val="0"/>
    </w:pPr>
    <w:rPr>
      <w:b/>
      <w:szCs w:val="20"/>
    </w:rPr>
  </w:style>
  <w:style w:type="paragraph" w:styleId="Heading2">
    <w:name w:val="heading 2"/>
    <w:basedOn w:val="Normal"/>
    <w:next w:val="Normal"/>
    <w:qFormat/>
    <w:rsid w:val="00F602CF"/>
    <w:pPr>
      <w:keepNext/>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79D3"/>
    <w:pPr>
      <w:widowControl w:val="0"/>
      <w:autoSpaceDE w:val="0"/>
      <w:autoSpaceDN w:val="0"/>
      <w:adjustRightInd w:val="0"/>
    </w:pPr>
    <w:rPr>
      <w:color w:val="000000"/>
      <w:sz w:val="24"/>
      <w:szCs w:val="24"/>
    </w:rPr>
  </w:style>
  <w:style w:type="paragraph" w:customStyle="1" w:styleId="CM21">
    <w:name w:val="CM21"/>
    <w:basedOn w:val="Default"/>
    <w:next w:val="Default"/>
    <w:rsid w:val="00AF79D3"/>
    <w:pPr>
      <w:spacing w:after="270"/>
    </w:pPr>
    <w:rPr>
      <w:color w:val="auto"/>
    </w:rPr>
  </w:style>
  <w:style w:type="paragraph" w:customStyle="1" w:styleId="CM5">
    <w:name w:val="CM5"/>
    <w:basedOn w:val="Default"/>
    <w:next w:val="Default"/>
    <w:rsid w:val="00AF79D3"/>
    <w:pPr>
      <w:spacing w:line="323" w:lineRule="atLeast"/>
    </w:pPr>
    <w:rPr>
      <w:color w:val="auto"/>
    </w:rPr>
  </w:style>
  <w:style w:type="paragraph" w:customStyle="1" w:styleId="CM22">
    <w:name w:val="CM22"/>
    <w:basedOn w:val="Default"/>
    <w:next w:val="Default"/>
    <w:rsid w:val="00AF79D3"/>
    <w:pPr>
      <w:spacing w:after="125"/>
    </w:pPr>
    <w:rPr>
      <w:color w:val="auto"/>
    </w:rPr>
  </w:style>
  <w:style w:type="paragraph" w:customStyle="1" w:styleId="CM14">
    <w:name w:val="CM14"/>
    <w:basedOn w:val="Default"/>
    <w:next w:val="Default"/>
    <w:rsid w:val="00AF79D3"/>
    <w:rPr>
      <w:color w:val="auto"/>
    </w:rPr>
  </w:style>
  <w:style w:type="paragraph" w:customStyle="1" w:styleId="CM15">
    <w:name w:val="CM15"/>
    <w:basedOn w:val="Default"/>
    <w:next w:val="Default"/>
    <w:rsid w:val="00AF79D3"/>
    <w:pPr>
      <w:spacing w:line="323" w:lineRule="atLeast"/>
    </w:pPr>
    <w:rPr>
      <w:color w:val="auto"/>
    </w:rPr>
  </w:style>
  <w:style w:type="paragraph" w:customStyle="1" w:styleId="CM25">
    <w:name w:val="CM25"/>
    <w:basedOn w:val="Default"/>
    <w:next w:val="Default"/>
    <w:rsid w:val="00AF79D3"/>
    <w:pPr>
      <w:spacing w:after="200"/>
    </w:pPr>
    <w:rPr>
      <w:color w:val="auto"/>
    </w:rPr>
  </w:style>
  <w:style w:type="paragraph" w:customStyle="1" w:styleId="CM18">
    <w:name w:val="CM18"/>
    <w:basedOn w:val="Default"/>
    <w:next w:val="Default"/>
    <w:rsid w:val="00AF79D3"/>
    <w:pPr>
      <w:spacing w:line="323" w:lineRule="atLeast"/>
    </w:pPr>
    <w:rPr>
      <w:color w:val="auto"/>
    </w:rPr>
  </w:style>
  <w:style w:type="paragraph" w:customStyle="1" w:styleId="CM20">
    <w:name w:val="CM20"/>
    <w:basedOn w:val="Default"/>
    <w:next w:val="Default"/>
    <w:rsid w:val="00AF79D3"/>
    <w:pPr>
      <w:spacing w:line="323" w:lineRule="atLeast"/>
    </w:pPr>
    <w:rPr>
      <w:color w:val="auto"/>
    </w:rPr>
  </w:style>
  <w:style w:type="paragraph" w:styleId="BodyTextIndent2">
    <w:name w:val="Body Text Indent 2"/>
    <w:basedOn w:val="Normal"/>
    <w:rsid w:val="00F602CF"/>
    <w:pPr>
      <w:ind w:left="1080"/>
    </w:pPr>
    <w:rPr>
      <w:sz w:val="16"/>
    </w:rPr>
  </w:style>
  <w:style w:type="paragraph" w:styleId="BodyText">
    <w:name w:val="Body Text"/>
    <w:basedOn w:val="Normal"/>
    <w:rsid w:val="00F602CF"/>
    <w:rPr>
      <w:szCs w:val="20"/>
    </w:rPr>
  </w:style>
  <w:style w:type="paragraph" w:styleId="BodyTextIndent">
    <w:name w:val="Body Text Indent"/>
    <w:basedOn w:val="Normal"/>
    <w:rsid w:val="00F602CF"/>
    <w:pPr>
      <w:ind w:left="720"/>
    </w:pPr>
    <w:rPr>
      <w:szCs w:val="20"/>
    </w:rPr>
  </w:style>
  <w:style w:type="paragraph" w:styleId="PlainText">
    <w:name w:val="Plain Text"/>
    <w:basedOn w:val="Normal"/>
    <w:rsid w:val="00F602CF"/>
    <w:rPr>
      <w:rFonts w:ascii="Courier New" w:hAnsi="Courier New" w:cs="Courier New"/>
      <w:sz w:val="20"/>
      <w:szCs w:val="20"/>
    </w:rPr>
  </w:style>
  <w:style w:type="paragraph" w:styleId="Footer">
    <w:name w:val="footer"/>
    <w:basedOn w:val="Normal"/>
    <w:rsid w:val="002162E9"/>
    <w:pPr>
      <w:tabs>
        <w:tab w:val="center" w:pos="4320"/>
        <w:tab w:val="right" w:pos="8640"/>
      </w:tabs>
    </w:pPr>
  </w:style>
  <w:style w:type="character" w:styleId="PageNumber">
    <w:name w:val="page number"/>
    <w:basedOn w:val="DefaultParagraphFont"/>
    <w:rsid w:val="002162E9"/>
  </w:style>
  <w:style w:type="table" w:styleId="TableGrid">
    <w:name w:val="Table Grid"/>
    <w:basedOn w:val="TableNormal"/>
    <w:rsid w:val="009B2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0301D5"/>
    <w:rPr>
      <w:sz w:val="16"/>
      <w:szCs w:val="16"/>
    </w:rPr>
  </w:style>
  <w:style w:type="paragraph" w:styleId="CommentText">
    <w:name w:val="annotation text"/>
    <w:basedOn w:val="Normal"/>
    <w:semiHidden/>
    <w:rsid w:val="000301D5"/>
    <w:rPr>
      <w:sz w:val="20"/>
      <w:szCs w:val="20"/>
    </w:rPr>
  </w:style>
  <w:style w:type="paragraph" w:styleId="CommentSubject">
    <w:name w:val="annotation subject"/>
    <w:basedOn w:val="CommentText"/>
    <w:next w:val="CommentText"/>
    <w:semiHidden/>
    <w:rsid w:val="000301D5"/>
    <w:rPr>
      <w:b/>
      <w:bCs/>
    </w:rPr>
  </w:style>
  <w:style w:type="paragraph" w:styleId="BalloonText">
    <w:name w:val="Balloon Text"/>
    <w:basedOn w:val="Normal"/>
    <w:semiHidden/>
    <w:rsid w:val="000301D5"/>
    <w:rPr>
      <w:rFonts w:ascii="Tahoma" w:hAnsi="Tahoma" w:cs="Tahoma"/>
      <w:sz w:val="16"/>
      <w:szCs w:val="16"/>
    </w:rPr>
  </w:style>
  <w:style w:type="paragraph" w:styleId="Header">
    <w:name w:val="header"/>
    <w:basedOn w:val="Normal"/>
    <w:rsid w:val="000301D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80393038229C46B061EF92BE045048" ma:contentTypeVersion="0" ma:contentTypeDescription="Create a new document." ma:contentTypeScope="" ma:versionID="05f3f9118ec840b0fa6cb52507e7a39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70E19-7AAA-4522-821F-0CD07868B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C403538-54D8-40E9-BE05-BB21EE10A47E}">
  <ds:schemaRefs>
    <ds:schemaRef ds:uri="http://schemas.microsoft.com/sharepoint/v3/contenttype/forms"/>
  </ds:schemaRefs>
</ds:datastoreItem>
</file>

<file path=customXml/itemProps3.xml><?xml version="1.0" encoding="utf-8"?>
<ds:datastoreItem xmlns:ds="http://schemas.openxmlformats.org/officeDocument/2006/customXml" ds:itemID="{8AAEBAC2-162C-4CE2-942D-EC081D49D69E}">
  <ds:schemaRefs>
    <ds:schemaRef ds:uri="http://purl.org/dc/terms/"/>
    <ds:schemaRef ds:uri="http://purl.org/dc/elements/1.1/"/>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BF159CF9-5BC6-4A3B-87C5-C0D332B37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 Guide for County Funding for Extension in Missouri Counties</vt:lpstr>
    </vt:vector>
  </TitlesOfParts>
  <Company>University of Missouri</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for County Funding for Extension in Missouri Counties</dc:title>
  <dc:creator>Outreach &amp; Extension</dc:creator>
  <cp:lastModifiedBy>Hansen, Kevin</cp:lastModifiedBy>
  <cp:revision>7</cp:revision>
  <cp:lastPrinted>2011-08-05T22:33:00Z</cp:lastPrinted>
  <dcterms:created xsi:type="dcterms:W3CDTF">2013-07-26T19:57:00Z</dcterms:created>
  <dcterms:modified xsi:type="dcterms:W3CDTF">2016-12-01T19:06:00Z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0x0101000880393038229C46B061EF92BE045048</vt:lpwstr>
  </property>
</Properties>
</file>